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C64320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Jost" w:hAnsi="Jost"/>
          <w:sz w:val="20"/>
        </w:rPr>
      </w:pPr>
    </w:p>
    <w:p>
      <w:pPr>
        <w:jc w:val="right"/>
        <w:rPr>
          <w:rFonts w:ascii="Jost" w:hAnsi="Jost"/>
          <w:sz w:val="20"/>
        </w:rPr>
      </w:pPr>
    </w:p>
    <w:p>
      <w:pPr>
        <w:rPr>
          <w:rFonts w:ascii="Jost" w:hAnsi="Jost"/>
          <w:sz w:val="20"/>
        </w:rPr>
      </w:pPr>
      <w:r>
        <w:rPr>
          <w:rFonts w:ascii="Jost" w:hAnsi="Jost"/>
          <w:sz w:val="20"/>
        </w:rPr>
        <w:t xml:space="preserve">Tabela nr 1  Monitoring kontrolny przeprowadzany zgodnie z harmonogramem</w:t>
      </w:r>
    </w:p>
    <w:p>
      <w:pPr>
        <w:rPr>
          <w:rFonts w:ascii="Jost" w:hAnsi="Jost"/>
          <w:sz w:val="20"/>
        </w:rPr>
      </w:pPr>
    </w:p>
    <w:tbl>
      <w:tblPr>
        <w:tblW w:w="4926" w:type="pct"/>
        <w:jc w:val="center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ook w:val="01E0"/>
      </w:tblPr>
      <w:tblGrid/>
      <w:tr>
        <w:trPr>
          <w:cantSplit/>
          <w:trHeight w:hRule="atLeast" w:val="2194"/>
          <w:jc w:val="center"/>
        </w:trPr>
        <w:tc>
          <w:tcPr>
            <w:tcW w:w="990" w:type="pct"/>
            <w:vAlign w:val="center"/>
          </w:tcPr>
          <w:p>
            <w:pPr>
              <w:tabs>
                <w:tab w:val="left" w:pos="507" w:leader="none"/>
              </w:tabs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Rodzaj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Zakres badania</w:t>
            </w:r>
          </w:p>
        </w:tc>
        <w:tc>
          <w:tcPr>
            <w:tcW w:w="678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Cena jednostkowa badania/netto</w:t>
            </w:r>
          </w:p>
        </w:tc>
        <w:tc>
          <w:tcPr>
            <w:tcW w:w="679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Ilość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analiz</w:t>
            </w:r>
          </w:p>
        </w:tc>
        <w:tc>
          <w:tcPr>
            <w:tcW w:w="1417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Wartość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netto</w:t>
            </w: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restar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Monitoring kontrolny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 xml:space="preserve">MK </w:t>
            </w: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Escherichia coli</w:t>
            </w:r>
          </w:p>
        </w:tc>
        <w:tc>
          <w:tcPr>
            <w:tcW w:w="678" w:type="pct"/>
            <w:vMerge w:val="restar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restar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198</w:t>
            </w:r>
          </w:p>
        </w:tc>
        <w:tc>
          <w:tcPr>
            <w:tcW w:w="1417" w:type="pct"/>
            <w:vMerge w:val="restar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Bakterie grupy coli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492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Ogólna liczba mikroorganizmów w 22±2°C po 72h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Mętność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Barwa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Smak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pH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Przewodność elektryczna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Twardość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Zapach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Enterokoki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Chlor wolny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246"/>
          <w:jc w:val="center"/>
        </w:trPr>
        <w:tc>
          <w:tcPr>
            <w:tcW w:w="990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23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Temperatura</w:t>
            </w:r>
          </w:p>
        </w:tc>
        <w:tc>
          <w:tcPr>
            <w:tcW w:w="67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1417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1282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*w cenie jednostkowej badania należy uwzględnić koszt sprawozdania z wykonanych analiz wraz ze stwierdzeniem zgodności z wymaganiami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** w cenie jednostkowej badania należy zawrzeć wszelkie koszty związane z próbkami ( m.in. cenę poboru, transportu itp.)</w:t>
            </w:r>
          </w:p>
        </w:tc>
      </w:tr>
    </w:tbl>
    <w:p>
      <w:pPr>
        <w:jc w:val="center"/>
        <w:rPr>
          <w:rFonts w:ascii="Jost" w:hAnsi="Jost"/>
          <w:sz w:val="20"/>
        </w:rPr>
      </w:pPr>
    </w:p>
    <w:p>
      <w:pPr>
        <w:rPr>
          <w:rFonts w:ascii="Jost" w:hAnsi="Jost"/>
          <w:sz w:val="20"/>
        </w:rPr>
      </w:pPr>
      <w:r>
        <w:rPr>
          <w:rFonts w:ascii="Jost" w:hAnsi="Jost"/>
          <w:sz w:val="20"/>
        </w:rPr>
        <w:t>Tabela nr 2 Monitoring przeglądowy przeprowadzany zgodnie z harmonogramem</w:t>
      </w:r>
    </w:p>
    <w:p>
      <w:pPr>
        <w:rPr>
          <w:rFonts w:ascii="Jost" w:hAnsi="Jost"/>
          <w:sz w:val="20"/>
        </w:rPr>
      </w:pPr>
    </w:p>
    <w:tbl>
      <w:tblPr>
        <w:tblW w:w="5000" w:type="pct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ook w:val="01E0"/>
      </w:tblPr>
      <w:tblGrid/>
      <w:tr>
        <w:trPr>
          <w:cantSplit/>
          <w:trHeight w:hRule="atLeast" w:val="2542"/>
        </w:trPr>
        <w:tc>
          <w:tcPr>
            <w:tcW w:w="609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Rodzaj</w:t>
            </w: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Zakres badania</w:t>
            </w:r>
          </w:p>
        </w:tc>
        <w:tc>
          <w:tcPr>
            <w:tcW w:w="669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Cena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jednostkowa badania/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 xml:space="preserve">netto </w:t>
            </w:r>
          </w:p>
        </w:tc>
        <w:tc>
          <w:tcPr>
            <w:tcW w:w="331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Ilość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analiz</w:t>
            </w:r>
          </w:p>
        </w:tc>
        <w:tc>
          <w:tcPr>
            <w:tcW w:w="721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Wartość netto</w:t>
            </w:r>
          </w:p>
        </w:tc>
      </w:tr>
      <w:tr>
        <w:tc>
          <w:tcPr>
            <w:tcW w:w="609" w:type="pct"/>
            <w:vMerge w:val="restart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 xml:space="preserve">Monitoring przeglądowy  MP</w:t>
            </w: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Mętność</w:t>
            </w:r>
          </w:p>
        </w:tc>
        <w:tc>
          <w:tcPr>
            <w:tcW w:w="669" w:type="pct"/>
            <w:vMerge w:val="restar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restar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restar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Barwa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pH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Zapach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Smak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Przewodność elektryczna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Jon amonowy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Azotyny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Azotany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Glin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restar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18</w:t>
            </w: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Żelazo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Chlorki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Mangan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Arsen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Benzo(a)piren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Benzen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Bor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Cambria" w:hAnsi="Cambria"/>
                <w:sz w:val="20"/>
              </w:rPr>
              <w:t>Σ</w:t>
            </w:r>
            <w:r>
              <w:rPr>
                <w:rFonts w:ascii="Jost" w:hAnsi="Jost"/>
                <w:sz w:val="20"/>
              </w:rPr>
              <w:t>WWA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Cambria" w:hAnsi="Cambria"/>
                <w:sz w:val="20"/>
              </w:rPr>
              <w:t>Σ</w:t>
            </w:r>
            <w:r>
              <w:rPr>
                <w:rFonts w:ascii="Jost" w:hAnsi="Jost"/>
                <w:sz w:val="20"/>
              </w:rPr>
              <w:t>THM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Cambria" w:hAnsi="Cambria"/>
                <w:sz w:val="20"/>
              </w:rPr>
              <w:t>Σ</w:t>
            </w:r>
            <w:r>
              <w:rPr>
                <w:rFonts w:ascii="Jost" w:hAnsi="Jost"/>
                <w:sz w:val="20"/>
              </w:rPr>
              <w:t>trichloroeten i tetrachloreten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Siarczany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Utlenialność z KMnO</w:t>
            </w:r>
            <w:r>
              <w:rPr>
                <w:rFonts w:ascii="Jost" w:hAnsi="Jost"/>
                <w:sz w:val="20"/>
                <w:vertAlign w:val="subscript"/>
              </w:rPr>
              <w:t>4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Antymon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Chrom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Sód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Kadm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Ołów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Miedź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Nikiel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Rtęć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Selen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Fluorki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Bromiany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Chlorek Winylu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1,2 Dichloroetan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Pestycydy ( z rozbiciem na poszczególne oznaczenia)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Cambria" w:hAnsi="Cambria"/>
                <w:sz w:val="20"/>
              </w:rPr>
              <w:t>Σ</w:t>
            </w:r>
            <w:r>
              <w:rPr>
                <w:rFonts w:ascii="Jost" w:hAnsi="Jost"/>
                <w:sz w:val="20"/>
              </w:rPr>
              <w:t>Pestycydów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Akryloamid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Cyjanki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Epichlolohydryna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Bakterie grupy coli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Escherichia coli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Enterokoki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Ogólna liczba mikroorganizmów w 22±2°C po 72h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Clostridium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Chlor wolny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OWO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Srebro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Twardość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Magnez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Bromodichlorometan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Trichlorometan (chloroform)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Chloraminy</w:t>
            </w:r>
          </w:p>
        </w:tc>
        <w:tc>
          <w:tcPr>
            <w:tcW w:w="669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c>
          <w:tcPr>
            <w:tcW w:w="609" w:type="pct"/>
            <w:vMerge w:val="continue"/>
            <w:tcBorders>
              <w:bottom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670" w:type="pct"/>
            <w:tcBorders>
              <w:top w:val="single" w:sz="4" w:space="0" w:shadow="0" w:frame="0" w:color="auto"/>
              <w:bottom w:val="single" w:sz="4" w:space="0" w:shadow="0" w:frame="0" w:color="auto"/>
            </w:tcBorders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Temperatura</w:t>
            </w:r>
          </w:p>
        </w:tc>
        <w:tc>
          <w:tcPr>
            <w:tcW w:w="669" w:type="pct"/>
            <w:vMerge w:val="continue"/>
            <w:tcBorders>
              <w:bottom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331" w:type="pct"/>
            <w:vMerge w:val="continue"/>
            <w:tcBorders>
              <w:bottom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721" w:type="pct"/>
            <w:vMerge w:val="continue"/>
            <w:tcBorders>
              <w:bottom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512"/>
        </w:trPr>
        <w:tc>
          <w:tcPr>
            <w:tcW w:w="5000" w:type="pct"/>
            <w:gridSpan w:val="5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*w cenie jednostkowej badania należy uwzględnić koszt sprawozdania z wykonanych analiz wraz ze stwierdzeniem zgodności z wymaganiami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16"/>
              </w:rPr>
              <w:t>** w cenie jednostkowej badania należy zawrzeć wszelkie koszty związane z próbkami ( m.in. cenę poboru, transportu itp.)</w:t>
            </w:r>
          </w:p>
        </w:tc>
      </w:tr>
    </w:tbl>
    <w:p>
      <w:pPr>
        <w:jc w:val="center"/>
        <w:rPr>
          <w:rFonts w:ascii="Jost" w:hAnsi="Jost"/>
          <w:sz w:val="20"/>
        </w:rPr>
      </w:pPr>
    </w:p>
    <w:p>
      <w:pPr>
        <w:rPr>
          <w:rFonts w:ascii="Jost" w:hAnsi="Jost"/>
          <w:sz w:val="20"/>
        </w:rPr>
      </w:pPr>
    </w:p>
    <w:p>
      <w:pPr>
        <w:rPr>
          <w:rFonts w:ascii="Jost" w:hAnsi="Jost"/>
          <w:sz w:val="20"/>
        </w:rPr>
      </w:pPr>
    </w:p>
    <w:p>
      <w:pPr>
        <w:rPr>
          <w:rFonts w:ascii="Jost" w:hAnsi="Jost"/>
          <w:sz w:val="20"/>
        </w:rPr>
      </w:pPr>
    </w:p>
    <w:p>
      <w:pPr>
        <w:rPr>
          <w:rFonts w:ascii="Jost" w:hAnsi="Jost"/>
          <w:sz w:val="20"/>
        </w:rPr>
      </w:pPr>
      <w:r>
        <w:rPr>
          <w:rFonts w:ascii="Jost" w:hAnsi="Jost"/>
          <w:sz w:val="20"/>
        </w:rPr>
        <w:t xml:space="preserve">Tabela nr 3 Badanie wody z cysterny </w:t>
      </w:r>
    </w:p>
    <w:p>
      <w:pPr>
        <w:rPr>
          <w:rFonts w:ascii="Jost" w:hAnsi="Jost"/>
          <w:sz w:val="20"/>
        </w:rPr>
      </w:pPr>
    </w:p>
    <w:tbl>
      <w:tblPr>
        <w:tblW w:w="5000" w:type="pct"/>
        <w:jc w:val="center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ook w:val="01E0"/>
      </w:tblPr>
      <w:tblGrid/>
      <w:tr>
        <w:trPr>
          <w:cantSplit/>
          <w:trHeight w:hRule="atLeast" w:val="1962"/>
          <w:jc w:val="center"/>
        </w:trPr>
        <w:tc>
          <w:tcPr>
            <w:tcW w:w="422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Rodzaj</w:t>
            </w: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Style w:val="C3"/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Zakres badania</w:t>
            </w:r>
          </w:p>
        </w:tc>
        <w:tc>
          <w:tcPr>
            <w:tcW w:w="748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Cena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jednostkowa badania /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netto</w:t>
            </w:r>
          </w:p>
        </w:tc>
        <w:tc>
          <w:tcPr>
            <w:tcW w:w="673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  <w:p>
            <w:pPr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Ilość analiz</w:t>
            </w:r>
          </w:p>
        </w:tc>
        <w:tc>
          <w:tcPr>
            <w:tcW w:w="802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  <w:p>
            <w:pPr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Wartość netto</w:t>
            </w:r>
          </w:p>
        </w:tc>
      </w:tr>
      <w:tr>
        <w:trPr>
          <w:jc w:val="center"/>
        </w:trPr>
        <w:tc>
          <w:tcPr>
            <w:tcW w:w="422" w:type="pct"/>
            <w:vMerge w:val="restar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Badanie cysterna</w:t>
            </w: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Escherichia coli</w:t>
            </w:r>
          </w:p>
        </w:tc>
        <w:tc>
          <w:tcPr>
            <w:tcW w:w="748" w:type="pct"/>
            <w:vMerge w:val="restar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restar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10</w:t>
            </w:r>
          </w:p>
        </w:tc>
        <w:tc>
          <w:tcPr>
            <w:tcW w:w="802" w:type="pct"/>
            <w:vMerge w:val="restar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42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Enterokoki</w:t>
            </w:r>
          </w:p>
        </w:tc>
        <w:tc>
          <w:tcPr>
            <w:tcW w:w="7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80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42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Pseudomonac aeruginosa</w:t>
            </w:r>
          </w:p>
        </w:tc>
        <w:tc>
          <w:tcPr>
            <w:tcW w:w="7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80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42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 xml:space="preserve">Ogólna liczba mikroorganizmów  w 36±2°C</w:t>
            </w:r>
          </w:p>
        </w:tc>
        <w:tc>
          <w:tcPr>
            <w:tcW w:w="7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80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42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Barwa</w:t>
            </w:r>
          </w:p>
        </w:tc>
        <w:tc>
          <w:tcPr>
            <w:tcW w:w="7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80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42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Mętność</w:t>
            </w:r>
          </w:p>
        </w:tc>
        <w:tc>
          <w:tcPr>
            <w:tcW w:w="7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80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42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Smak</w:t>
            </w:r>
          </w:p>
        </w:tc>
        <w:tc>
          <w:tcPr>
            <w:tcW w:w="7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80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42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Zapach</w:t>
            </w:r>
          </w:p>
        </w:tc>
        <w:tc>
          <w:tcPr>
            <w:tcW w:w="7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80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42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pH</w:t>
            </w:r>
          </w:p>
        </w:tc>
        <w:tc>
          <w:tcPr>
            <w:tcW w:w="7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80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422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Przewodność elektryczna</w:t>
            </w:r>
          </w:p>
        </w:tc>
        <w:tc>
          <w:tcPr>
            <w:tcW w:w="7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80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422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3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Temperatura</w:t>
            </w:r>
          </w:p>
        </w:tc>
        <w:tc>
          <w:tcPr>
            <w:tcW w:w="7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73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802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536"/>
          <w:jc w:val="center"/>
        </w:trPr>
        <w:tc>
          <w:tcPr>
            <w:tcW w:w="5000" w:type="pct"/>
            <w:gridSpan w:val="5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*w cenie jednostkowej badania należy uwzględnić koszt sprawozdania z wykonanych analiz wraz ze stwierdzeniem zgodności z wymaganiami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** w cenie jednostkowej badania należy zawrzeć wszelkie koszty związane z próbkami ( m.in. cenę poboru, transportu itp.)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</w:tbl>
    <w:p>
      <w:pPr>
        <w:rPr>
          <w:rFonts w:ascii="Jost" w:hAnsi="Jost"/>
          <w:sz w:val="20"/>
        </w:rPr>
      </w:pPr>
    </w:p>
    <w:p>
      <w:pPr>
        <w:rPr>
          <w:rFonts w:ascii="Jost" w:hAnsi="Jost"/>
          <w:sz w:val="20"/>
        </w:rPr>
      </w:pPr>
      <w:r>
        <w:rPr>
          <w:rFonts w:ascii="Jost" w:hAnsi="Jost"/>
          <w:sz w:val="20"/>
        </w:rPr>
        <w:t>Tabela nr 4 Badanie wody w przypadku przekroczenia dopuszczalnej wartości parametrycznej, w wyniku interwencji lub awarii</w:t>
      </w:r>
    </w:p>
    <w:p>
      <w:pPr>
        <w:rPr>
          <w:rFonts w:ascii="Jost" w:hAnsi="Jost"/>
          <w:sz w:val="20"/>
        </w:rPr>
      </w:pPr>
      <w:r>
        <w:rPr>
          <w:rFonts w:ascii="Jost" w:hAnsi="Jost"/>
          <w:sz w:val="20"/>
        </w:rPr>
        <w:t xml:space="preserve"> </w:t>
      </w:r>
    </w:p>
    <w:tbl>
      <w:tblPr>
        <w:tblW w:w="5000" w:type="pct"/>
        <w:jc w:val="center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ook w:val="01E0"/>
      </w:tblPr>
      <w:tblGrid/>
      <w:tr>
        <w:trPr>
          <w:cantSplit/>
          <w:trHeight w:hRule="atLeast" w:val="1566"/>
          <w:jc w:val="center"/>
        </w:trPr>
        <w:tc>
          <w:tcPr>
            <w:tcW w:w="948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Rodzaj</w:t>
            </w: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Zakres badania</w:t>
            </w:r>
          </w:p>
        </w:tc>
        <w:tc>
          <w:tcPr>
            <w:tcW w:w="606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Cena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jednostkowa badania/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 xml:space="preserve">netto </w:t>
            </w:r>
          </w:p>
        </w:tc>
        <w:tc>
          <w:tcPr>
            <w:tcW w:w="606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Ilość analiz</w:t>
            </w:r>
          </w:p>
          <w:p>
            <w:pPr>
              <w:jc w:val="center"/>
              <w:rPr>
                <w:rFonts w:ascii="Jost" w:hAnsi="Jost"/>
                <w:sz w:val="20"/>
              </w:rPr>
            </w:pPr>
          </w:p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Wartość netto</w:t>
            </w:r>
          </w:p>
        </w:tc>
      </w:tr>
      <w:tr>
        <w:trPr>
          <w:jc w:val="center"/>
        </w:trPr>
        <w:tc>
          <w:tcPr>
            <w:tcW w:w="948" w:type="pct"/>
            <w:vMerge w:val="restar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Badania dodatkowe (zlecane zgodnie z zapotrzebowaniem)</w:t>
            </w: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Escherichia coli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restar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25</w:t>
            </w: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Bakterie grupy coli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Ogólna liczba mikroorganizmów w 22±2°C po 72h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Mętność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Barwa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Smak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pH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Przewodność elektryczna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Twardość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Zapach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Enterokoki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Chlor wolny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Temperatura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Żelazo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Mangan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948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2185" w:type="pct"/>
            <w:vAlign w:val="center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Pobór próbki wraz z transportem do laboratorium</w:t>
            </w: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  <w:vMerge w:val="continue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55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</w:tc>
      </w:tr>
      <w:tr>
        <w:trPr>
          <w:jc w:val="center"/>
        </w:trPr>
        <w:tc>
          <w:tcPr>
            <w:tcW w:w="3739" w:type="pct"/>
            <w:gridSpan w:val="3"/>
          </w:tcPr>
          <w:p>
            <w:pPr>
              <w:jc w:val="center"/>
              <w:rPr>
                <w:rFonts w:ascii="Jost" w:hAnsi="Jost"/>
                <w:sz w:val="20"/>
              </w:rPr>
            </w:pPr>
          </w:p>
        </w:tc>
        <w:tc>
          <w:tcPr>
            <w:tcW w:w="606" w:type="pct"/>
          </w:tcPr>
          <w:p>
            <w:pPr>
              <w:jc w:val="center"/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20"/>
              </w:rPr>
              <w:t>Suma</w:t>
            </w:r>
          </w:p>
        </w:tc>
        <w:tc>
          <w:tcPr>
            <w:tcW w:w="655" w:type="pct"/>
            <w:vAlign w:val="center"/>
          </w:tcPr>
          <w:p>
            <w:pPr>
              <w:rPr>
                <w:rFonts w:ascii="Jost" w:hAnsi="Jost"/>
                <w:sz w:val="20"/>
              </w:rPr>
            </w:pPr>
          </w:p>
        </w:tc>
      </w:tr>
      <w:tr>
        <w:trPr>
          <w:trHeight w:hRule="atLeast" w:val="536"/>
          <w:jc w:val="center"/>
        </w:trPr>
        <w:tc>
          <w:tcPr>
            <w:tcW w:w="5000" w:type="pct"/>
            <w:gridSpan w:val="5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*w cenie jednostkowej badania należy uwzględnić koszt sprawozdania z wykonanych analiz wraz ze stwierdzeniem zgodności z wymaganiami</w:t>
            </w:r>
          </w:p>
          <w:p>
            <w:pPr>
              <w:rPr>
                <w:rFonts w:ascii="Jost" w:hAnsi="Jost"/>
                <w:sz w:val="20"/>
              </w:rPr>
            </w:pPr>
            <w:r>
              <w:rPr>
                <w:rFonts w:ascii="Jost" w:hAnsi="Jost"/>
                <w:sz w:val="16"/>
              </w:rPr>
              <w:t>** zleceniodawca zastrzega możliwość zlecenia innych badań dodatkowych lub rekontrolnie ujętych w tabeli nr 2 lub 3 po cenie rynkowej.</w:t>
            </w:r>
          </w:p>
        </w:tc>
      </w:tr>
    </w:tbl>
    <w:p>
      <w:pPr>
        <w:rPr>
          <w:rFonts w:ascii="Jost" w:hAnsi="Jost"/>
          <w:sz w:val="20"/>
        </w:rPr>
      </w:pPr>
    </w:p>
    <w:p>
      <w:pPr>
        <w:ind w:left="720"/>
        <w:rPr>
          <w:rFonts w:ascii="Jost" w:hAnsi="Jost"/>
          <w:sz w:val="20"/>
        </w:rPr>
      </w:pPr>
    </w:p>
    <w:sectPr>
      <w:type w:val="nextPage"/>
      <w:pgSz w:w="11906" w:h="16838" w:code="9"/>
      <w:pgMar w:left="720" w:right="720" w:top="720" w:bottom="72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3A11703F"/>
    <w:multiLevelType w:val="hybridMultilevel"/>
    <w:lvl w:ilvl="0" w:tplc="04150001">
      <w:start w:val="12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041500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415000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415000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415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15000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415000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415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15000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nsid w:val="77A94FFC"/>
    <w:multiLevelType w:val="hybridMultilevel"/>
    <w:lvl w:ilvl="0" w:tplc="04150001">
      <w:start w:val="12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04150003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4150005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4150001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04150003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0415000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4150001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0415000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4150005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Subtle Reference"/>
    <w:qFormat/>
    <w:rPr>
      <w:color w:val="5A5A5A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